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4FD" w:rsidRDefault="006952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ИНФОРМАЦИЯ</w:t>
      </w:r>
    </w:p>
    <w:p w:rsidR="004414FD" w:rsidRDefault="006952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  <w:sectPr w:rsidR="004414FD" w:rsidSect="000E278F">
          <w:headerReference w:type="default" r:id="rId8"/>
          <w:headerReference w:type="first" r:id="rId9"/>
          <w:endnotePr>
            <w:numFmt w:val="chicago"/>
          </w:endnotePr>
          <w:type w:val="continuous"/>
          <w:pgSz w:w="15840" w:h="12240" w:orient="landscape"/>
          <w:pgMar w:top="567" w:right="672" w:bottom="850" w:left="85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 ходе признания документов, содержащих международные стандарты аудита</w:t>
      </w:r>
      <w:r>
        <w:rPr>
          <w:rStyle w:val="ad"/>
          <w:rFonts w:ascii="Times New Roman" w:hAnsi="Times New Roman" w:cs="Times New Roman"/>
          <w:b/>
          <w:sz w:val="24"/>
          <w:szCs w:val="24"/>
          <w:lang w:val="ru-RU"/>
        </w:rPr>
        <w:endnoteReference w:id="1"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,</w:t>
      </w:r>
    </w:p>
    <w:p w:rsidR="004414FD" w:rsidRDefault="006952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применимыми на территории Российской Федерации</w:t>
      </w:r>
    </w:p>
    <w:p w:rsidR="004414FD" w:rsidRDefault="006952C1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201</w:t>
      </w:r>
      <w:r w:rsidR="001C0505">
        <w:rPr>
          <w:rFonts w:ascii="Times New Roman" w:hAnsi="Times New Roman" w:cs="Times New Roman"/>
          <w:b/>
          <w:sz w:val="24"/>
          <w:szCs w:val="24"/>
          <w:lang w:val="ru-RU"/>
        </w:rPr>
        <w:t>8</w:t>
      </w:r>
      <w:r w:rsidR="0004743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- 2019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год</w:t>
      </w:r>
      <w:r w:rsidR="00047439">
        <w:rPr>
          <w:rFonts w:ascii="Times New Roman" w:hAnsi="Times New Roman" w:cs="Times New Roman"/>
          <w:b/>
          <w:sz w:val="24"/>
          <w:szCs w:val="24"/>
          <w:lang w:val="ru-RU"/>
        </w:rPr>
        <w:t>ы</w:t>
      </w: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7"/>
        <w:gridCol w:w="3037"/>
        <w:gridCol w:w="1559"/>
        <w:gridCol w:w="1418"/>
        <w:gridCol w:w="1417"/>
        <w:gridCol w:w="1276"/>
        <w:gridCol w:w="1563"/>
        <w:gridCol w:w="6"/>
        <w:gridCol w:w="1912"/>
        <w:gridCol w:w="1916"/>
      </w:tblGrid>
      <w:tr w:rsidR="004414FD" w:rsidRPr="00047439" w:rsidTr="00E37B32">
        <w:trPr>
          <w:tblHeader/>
        </w:trPr>
        <w:tc>
          <w:tcPr>
            <w:tcW w:w="497" w:type="dxa"/>
            <w:vMerge w:val="restart"/>
            <w:shd w:val="clear" w:color="auto" w:fill="DAEEF3"/>
            <w:vAlign w:val="center"/>
          </w:tcPr>
          <w:p w:rsidR="004414FD" w:rsidRPr="000E278F" w:rsidRDefault="006952C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0E278F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№</w:t>
            </w:r>
          </w:p>
          <w:p w:rsidR="004414FD" w:rsidRPr="000E278F" w:rsidRDefault="006952C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0E278F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п/п</w:t>
            </w:r>
          </w:p>
        </w:tc>
        <w:tc>
          <w:tcPr>
            <w:tcW w:w="3037" w:type="dxa"/>
            <w:vMerge w:val="restart"/>
            <w:shd w:val="clear" w:color="auto" w:fill="DAEEF3"/>
            <w:vAlign w:val="center"/>
          </w:tcPr>
          <w:p w:rsidR="004414FD" w:rsidRPr="000E278F" w:rsidRDefault="006952C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0E278F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Наименование </w:t>
            </w:r>
            <w:r w:rsidRPr="000E278F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br/>
              <w:t>документа</w:t>
            </w:r>
          </w:p>
        </w:tc>
        <w:tc>
          <w:tcPr>
            <w:tcW w:w="1559" w:type="dxa"/>
            <w:vMerge w:val="restart"/>
            <w:shd w:val="clear" w:color="auto" w:fill="DAEEF3"/>
            <w:vAlign w:val="center"/>
          </w:tcPr>
          <w:p w:rsidR="004414FD" w:rsidRPr="000E278F" w:rsidRDefault="006952C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0E278F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Дата получения документа Минфином России от Международной федерации бухгалтеров</w:t>
            </w:r>
          </w:p>
        </w:tc>
        <w:tc>
          <w:tcPr>
            <w:tcW w:w="1418" w:type="dxa"/>
            <w:vMerge w:val="restart"/>
            <w:shd w:val="clear" w:color="auto" w:fill="DAEEF3"/>
            <w:vAlign w:val="center"/>
          </w:tcPr>
          <w:p w:rsidR="004414FD" w:rsidRPr="000E278F" w:rsidRDefault="006952C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0E278F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Дата направления документа Минфином России в Совет по аудиторской деятельности</w:t>
            </w:r>
          </w:p>
        </w:tc>
        <w:tc>
          <w:tcPr>
            <w:tcW w:w="1417" w:type="dxa"/>
            <w:vMerge w:val="restart"/>
            <w:shd w:val="clear" w:color="auto" w:fill="DAEEF3"/>
            <w:vAlign w:val="center"/>
          </w:tcPr>
          <w:p w:rsidR="004414FD" w:rsidRPr="000E278F" w:rsidRDefault="006952C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0E278F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Дата окончания проведения экспертизы</w:t>
            </w:r>
          </w:p>
        </w:tc>
        <w:tc>
          <w:tcPr>
            <w:tcW w:w="1276" w:type="dxa"/>
            <w:vMerge w:val="restart"/>
            <w:shd w:val="clear" w:color="auto" w:fill="DAEEF3"/>
            <w:vAlign w:val="center"/>
          </w:tcPr>
          <w:p w:rsidR="004414FD" w:rsidRPr="000E278F" w:rsidRDefault="006952C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0E278F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Дата получения заключения Минфином России</w:t>
            </w:r>
          </w:p>
        </w:tc>
        <w:tc>
          <w:tcPr>
            <w:tcW w:w="5397" w:type="dxa"/>
            <w:gridSpan w:val="4"/>
            <w:shd w:val="clear" w:color="auto" w:fill="DAEEF3"/>
            <w:vAlign w:val="center"/>
          </w:tcPr>
          <w:p w:rsidR="004414FD" w:rsidRPr="000E278F" w:rsidRDefault="006952C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0E278F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Издание приказа Минфина России </w:t>
            </w:r>
            <w:r w:rsidRPr="000E278F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br/>
              <w:t xml:space="preserve">о введении в действие документа </w:t>
            </w:r>
            <w:r w:rsidRPr="000E278F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br/>
              <w:t>на территории Российской Федерации</w:t>
            </w:r>
          </w:p>
        </w:tc>
      </w:tr>
      <w:tr w:rsidR="004414FD" w:rsidRPr="00047439" w:rsidTr="00E37B32">
        <w:trPr>
          <w:tblHeader/>
        </w:trPr>
        <w:tc>
          <w:tcPr>
            <w:tcW w:w="497" w:type="dxa"/>
            <w:vMerge/>
            <w:shd w:val="clear" w:color="auto" w:fill="DAEEF3"/>
            <w:vAlign w:val="center"/>
          </w:tcPr>
          <w:p w:rsidR="004414FD" w:rsidRPr="000E278F" w:rsidRDefault="004414F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3037" w:type="dxa"/>
            <w:vMerge/>
            <w:shd w:val="clear" w:color="auto" w:fill="DAEEF3"/>
            <w:vAlign w:val="center"/>
          </w:tcPr>
          <w:p w:rsidR="004414FD" w:rsidRPr="000E278F" w:rsidRDefault="004414F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vMerge/>
            <w:shd w:val="clear" w:color="auto" w:fill="DAEEF3"/>
            <w:vAlign w:val="center"/>
          </w:tcPr>
          <w:p w:rsidR="004414FD" w:rsidRPr="000E278F" w:rsidRDefault="004414F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Merge/>
            <w:shd w:val="clear" w:color="auto" w:fill="DAEEF3"/>
            <w:vAlign w:val="center"/>
          </w:tcPr>
          <w:p w:rsidR="004414FD" w:rsidRPr="000E278F" w:rsidRDefault="004414F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vMerge/>
            <w:shd w:val="clear" w:color="auto" w:fill="DAEEF3"/>
            <w:vAlign w:val="center"/>
          </w:tcPr>
          <w:p w:rsidR="004414FD" w:rsidRPr="000E278F" w:rsidRDefault="004414F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vMerge/>
            <w:shd w:val="clear" w:color="auto" w:fill="DAEEF3"/>
            <w:vAlign w:val="center"/>
          </w:tcPr>
          <w:p w:rsidR="004414FD" w:rsidRPr="000E278F" w:rsidRDefault="004414F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563" w:type="dxa"/>
            <w:shd w:val="clear" w:color="auto" w:fill="DAEEF3"/>
            <w:vAlign w:val="center"/>
          </w:tcPr>
          <w:p w:rsidR="004414FD" w:rsidRPr="000E278F" w:rsidRDefault="006952C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0E278F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Реквизиты приказа Минфина России</w:t>
            </w:r>
          </w:p>
        </w:tc>
        <w:tc>
          <w:tcPr>
            <w:tcW w:w="1918" w:type="dxa"/>
            <w:gridSpan w:val="2"/>
            <w:shd w:val="clear" w:color="auto" w:fill="DAEEF3"/>
            <w:vAlign w:val="center"/>
          </w:tcPr>
          <w:p w:rsidR="004414FD" w:rsidRPr="000E278F" w:rsidRDefault="006952C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0E278F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Дата направления приказа Минфина России на государственную регистрацию в Минюст России</w:t>
            </w:r>
          </w:p>
        </w:tc>
        <w:tc>
          <w:tcPr>
            <w:tcW w:w="1916" w:type="dxa"/>
            <w:shd w:val="clear" w:color="auto" w:fill="DAEEF3"/>
            <w:vAlign w:val="center"/>
          </w:tcPr>
          <w:p w:rsidR="004414FD" w:rsidRPr="000E278F" w:rsidRDefault="006952C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0E278F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Дата государственной  регистрации приказа Минина России в Минюсте России</w:t>
            </w:r>
          </w:p>
        </w:tc>
      </w:tr>
      <w:tr w:rsidR="004414FD" w:rsidTr="00E37B32">
        <w:tc>
          <w:tcPr>
            <w:tcW w:w="497" w:type="dxa"/>
          </w:tcPr>
          <w:p w:rsidR="004414FD" w:rsidRDefault="006952C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3037" w:type="dxa"/>
          </w:tcPr>
          <w:p w:rsidR="004414FD" w:rsidRDefault="006952C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559" w:type="dxa"/>
          </w:tcPr>
          <w:p w:rsidR="004414FD" w:rsidRDefault="006952C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418" w:type="dxa"/>
          </w:tcPr>
          <w:p w:rsidR="004414FD" w:rsidRDefault="006952C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417" w:type="dxa"/>
          </w:tcPr>
          <w:p w:rsidR="004414FD" w:rsidRDefault="006952C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4414FD" w:rsidRDefault="006952C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1563" w:type="dxa"/>
          </w:tcPr>
          <w:p w:rsidR="004414FD" w:rsidRDefault="006952C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1918" w:type="dxa"/>
            <w:gridSpan w:val="2"/>
          </w:tcPr>
          <w:p w:rsidR="004414FD" w:rsidRDefault="006952C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1916" w:type="dxa"/>
          </w:tcPr>
          <w:p w:rsidR="004414FD" w:rsidRDefault="006952C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</w:tr>
      <w:tr w:rsidR="004414FD" w:rsidRPr="00E37B32" w:rsidTr="00E37B32">
        <w:tc>
          <w:tcPr>
            <w:tcW w:w="497" w:type="dxa"/>
          </w:tcPr>
          <w:p w:rsidR="004414FD" w:rsidRDefault="006952C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3037" w:type="dxa"/>
          </w:tcPr>
          <w:p w:rsidR="004414FD" w:rsidRDefault="001C050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C05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контроля качества 1 «Контроль качества в аудиторских организациях, проводящих аудит и обзорные проверки финансовой отчетности, а также выполняющих прочие задания, обеспечивающие уверенность, и задания по оказанию сопутствующих услуг»</w:t>
            </w:r>
          </w:p>
        </w:tc>
        <w:tc>
          <w:tcPr>
            <w:tcW w:w="1559" w:type="dxa"/>
          </w:tcPr>
          <w:p w:rsidR="004414FD" w:rsidRDefault="000E27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4414FD" w:rsidRDefault="000E27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4414FD" w:rsidRDefault="006C35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4414FD" w:rsidRPr="001C0505" w:rsidRDefault="006C352D" w:rsidP="006C352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4414FD" w:rsidRDefault="00B34F5A" w:rsidP="009E0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4414FD" w:rsidRDefault="00FC2D64" w:rsidP="00FC2D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1C0505" w:rsidTr="00E37B32">
        <w:tc>
          <w:tcPr>
            <w:tcW w:w="497" w:type="dxa"/>
          </w:tcPr>
          <w:p w:rsidR="009E0735" w:rsidRDefault="009E0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C05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аудита 200 «Основные цели независимого аудитора и проведение аудита в соответствии с международными стандартами аудита»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FC2D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1C0505" w:rsidTr="00E37B32">
        <w:tc>
          <w:tcPr>
            <w:tcW w:w="497" w:type="dxa"/>
          </w:tcPr>
          <w:p w:rsidR="009E0735" w:rsidRDefault="009E0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C05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аудита 210 «Согласование условий аудиторских заданий»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FC2D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1C0505" w:rsidTr="00E37B32">
        <w:tc>
          <w:tcPr>
            <w:tcW w:w="497" w:type="dxa"/>
          </w:tcPr>
          <w:p w:rsidR="009E0735" w:rsidRDefault="009E0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C05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аудита 220 «Контроль качества при проведении аудита финансовой отчетности»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FC2D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1C0505" w:rsidTr="00E37B32">
        <w:tc>
          <w:tcPr>
            <w:tcW w:w="497" w:type="dxa"/>
          </w:tcPr>
          <w:p w:rsidR="009E0735" w:rsidRDefault="009E0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C05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аудита 230 «Аудиторская документация»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№ 07-02-07/197</w:t>
            </w:r>
          </w:p>
        </w:tc>
        <w:tc>
          <w:tcPr>
            <w:tcW w:w="1916" w:type="dxa"/>
          </w:tcPr>
          <w:p w:rsidR="009E0735" w:rsidRDefault="00FC2D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1C0505" w:rsidTr="00E37B32">
        <w:tc>
          <w:tcPr>
            <w:tcW w:w="497" w:type="dxa"/>
          </w:tcPr>
          <w:p w:rsidR="009E0735" w:rsidRDefault="009E0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6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C05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аудита 240 «Обязанности аудитора в отношении недобросовестных действий при проведении аудита финансовой отчетности»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FC2D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1C0505" w:rsidTr="00E37B32">
        <w:tc>
          <w:tcPr>
            <w:tcW w:w="497" w:type="dxa"/>
          </w:tcPr>
          <w:p w:rsidR="009E0735" w:rsidRDefault="009E0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C05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аудита 250 (пересмотренный) «Рассмотрение законов и нормативных актов в ходе аудита финансовой отчетности» и Согласующиеся поправки к другим международным стандартам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FC2D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1C0505" w:rsidTr="00E37B32">
        <w:tc>
          <w:tcPr>
            <w:tcW w:w="497" w:type="dxa"/>
          </w:tcPr>
          <w:p w:rsidR="009E0735" w:rsidRDefault="009E0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C05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аудита 260 «Информационное взаимодействие с лицами, отвечающими за корпоративное управление»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FC2D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1C0505" w:rsidTr="00E37B32">
        <w:tc>
          <w:tcPr>
            <w:tcW w:w="497" w:type="dxa"/>
          </w:tcPr>
          <w:p w:rsidR="009E0735" w:rsidRDefault="009E0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C05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аудита 265 «Информирование лиц, отвечающих за корпоративное управление, и руководства о недостатках в системе внутреннего контроля»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FC2D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1C0505" w:rsidTr="00E37B32">
        <w:tc>
          <w:tcPr>
            <w:tcW w:w="497" w:type="dxa"/>
          </w:tcPr>
          <w:p w:rsidR="009E0735" w:rsidRDefault="009E0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C05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аудита 300 «Планирование аудита финансовой отчетности»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FC2D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1C0505" w:rsidTr="00E37B32">
        <w:tc>
          <w:tcPr>
            <w:tcW w:w="497" w:type="dxa"/>
          </w:tcPr>
          <w:p w:rsidR="009E0735" w:rsidRDefault="009E0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C05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аудита 315 (пересмотренный) «Выявление и оценка рисков существенного искажения посредством изучения организации и ее окружения»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FC2D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1C0505" w:rsidTr="00E37B32">
        <w:tc>
          <w:tcPr>
            <w:tcW w:w="497" w:type="dxa"/>
          </w:tcPr>
          <w:p w:rsidR="009E0735" w:rsidRDefault="009E073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12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C05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аудита 320 «Существенность при планировании и проведении аудита»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FC2D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1C0505" w:rsidTr="00E37B32">
        <w:tc>
          <w:tcPr>
            <w:tcW w:w="497" w:type="dxa"/>
          </w:tcPr>
          <w:p w:rsidR="009E0735" w:rsidRDefault="009E073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C05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аудита 330 «Аудиторские процедуры в ответ на оцененные риски»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FC2D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1C0505" w:rsidTr="00E37B32">
        <w:tc>
          <w:tcPr>
            <w:tcW w:w="497" w:type="dxa"/>
          </w:tcPr>
          <w:p w:rsidR="009E0735" w:rsidRDefault="009E073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C05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аудита 402 «Особенности аудита организации, пользующейся услугами обслуживающей организации»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FC2D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1C0505" w:rsidTr="00E37B32">
        <w:tc>
          <w:tcPr>
            <w:tcW w:w="497" w:type="dxa"/>
          </w:tcPr>
          <w:p w:rsidR="009E0735" w:rsidRDefault="009E073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C05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аудита 450 «Оценка искажений, выявленных в ходе аудита»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FC2D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1C0505" w:rsidTr="00E37B32">
        <w:tc>
          <w:tcPr>
            <w:tcW w:w="497" w:type="dxa"/>
          </w:tcPr>
          <w:p w:rsidR="009E0735" w:rsidRDefault="009E073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C05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аудита 500 «Аудиторские доказательства»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FC2D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1C0505" w:rsidTr="00E37B32">
        <w:tc>
          <w:tcPr>
            <w:tcW w:w="497" w:type="dxa"/>
          </w:tcPr>
          <w:p w:rsidR="009E0735" w:rsidRDefault="009E073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C05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аудита 501 «Особенности получения аудиторских доказательств в конкретных случаях»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A46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1C0505" w:rsidTr="00E37B32">
        <w:tc>
          <w:tcPr>
            <w:tcW w:w="497" w:type="dxa"/>
          </w:tcPr>
          <w:p w:rsidR="009E0735" w:rsidRDefault="009E073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C05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аудита 505 «Внешние подтверждения»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A46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1C0505" w:rsidTr="00E37B32">
        <w:tc>
          <w:tcPr>
            <w:tcW w:w="497" w:type="dxa"/>
          </w:tcPr>
          <w:p w:rsidR="009E0735" w:rsidRDefault="009E073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C05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аудита 510 «Аудиторские задания, выполняемые впервые: остатки на начало периода»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A46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1C0505" w:rsidTr="00E37B32">
        <w:tc>
          <w:tcPr>
            <w:tcW w:w="497" w:type="dxa"/>
          </w:tcPr>
          <w:p w:rsidR="009E0735" w:rsidRDefault="009E073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C05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Международный стандарт аудита 520 «Аналитические </w:t>
            </w:r>
            <w:r w:rsidRPr="001C05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процедуры»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A46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1C0505" w:rsidTr="00E37B32">
        <w:tc>
          <w:tcPr>
            <w:tcW w:w="497" w:type="dxa"/>
          </w:tcPr>
          <w:p w:rsidR="009E0735" w:rsidRDefault="009E073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21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C05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аудита 530 «Аудиторская выборка»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A46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1C0505" w:rsidTr="00E37B32">
        <w:tc>
          <w:tcPr>
            <w:tcW w:w="497" w:type="dxa"/>
          </w:tcPr>
          <w:p w:rsidR="009E0735" w:rsidRDefault="009E0735" w:rsidP="007639F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</w:t>
            </w:r>
          </w:p>
        </w:tc>
        <w:tc>
          <w:tcPr>
            <w:tcW w:w="3037" w:type="dxa"/>
          </w:tcPr>
          <w:p w:rsidR="009E0735" w:rsidRDefault="009E0735" w:rsidP="007639F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C05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аудита 540 «Аудит оценочных значений, включая оценку справедливой стоимости, и соответствующего раскрытия информации»</w:t>
            </w:r>
          </w:p>
        </w:tc>
        <w:tc>
          <w:tcPr>
            <w:tcW w:w="1559" w:type="dxa"/>
          </w:tcPr>
          <w:p w:rsidR="009E0735" w:rsidRDefault="009E0735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7639F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A46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1C0505" w:rsidTr="00E37B32">
        <w:tc>
          <w:tcPr>
            <w:tcW w:w="497" w:type="dxa"/>
          </w:tcPr>
          <w:p w:rsidR="009E0735" w:rsidRDefault="009E073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C05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аудита 550 «Связанные стороны»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A46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1C0505" w:rsidTr="00E37B32">
        <w:tc>
          <w:tcPr>
            <w:tcW w:w="497" w:type="dxa"/>
          </w:tcPr>
          <w:p w:rsidR="009E0735" w:rsidRDefault="009E073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C05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аудита 560 «События после отчетной даты»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A46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1C0505" w:rsidTr="00E37B32">
        <w:tc>
          <w:tcPr>
            <w:tcW w:w="497" w:type="dxa"/>
          </w:tcPr>
          <w:p w:rsidR="009E0735" w:rsidRDefault="009E073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C05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аудита 570 (пересмотренный) «Непрерывность деятельности»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A46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1C0505" w:rsidTr="00E37B32">
        <w:tc>
          <w:tcPr>
            <w:tcW w:w="497" w:type="dxa"/>
          </w:tcPr>
          <w:p w:rsidR="009E0735" w:rsidRDefault="009E073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C05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аудита 580 «Письменные заявления»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A46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1C0505" w:rsidTr="00E37B32">
        <w:tc>
          <w:tcPr>
            <w:tcW w:w="497" w:type="dxa"/>
          </w:tcPr>
          <w:p w:rsidR="009E0735" w:rsidRDefault="009E073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C05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аудита 600 «Особенности аудита финансовой отчетности группы (включая работу аудиторов компонентов)»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A46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5D6A48" w:rsidTr="00E37B32">
        <w:tc>
          <w:tcPr>
            <w:tcW w:w="497" w:type="dxa"/>
          </w:tcPr>
          <w:p w:rsidR="009E0735" w:rsidRDefault="009E073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C05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Международный стандарт аудита 610 (пересмотренный, 2013 г.) «Использование работы </w:t>
            </w:r>
            <w:r w:rsidRPr="001C05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внутренних аудиторов»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№ 07-02-07/197</w:t>
            </w:r>
          </w:p>
        </w:tc>
        <w:tc>
          <w:tcPr>
            <w:tcW w:w="1916" w:type="dxa"/>
          </w:tcPr>
          <w:p w:rsidR="009E0735" w:rsidRDefault="00A46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5D6A48" w:rsidTr="00E37B32">
        <w:tc>
          <w:tcPr>
            <w:tcW w:w="497" w:type="dxa"/>
          </w:tcPr>
          <w:p w:rsidR="009E0735" w:rsidRDefault="009E073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29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D6A4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аудита 620 «Использование работы эксперта аудитора»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A46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3D2CB2" w:rsidTr="00E37B32">
        <w:tc>
          <w:tcPr>
            <w:tcW w:w="497" w:type="dxa"/>
          </w:tcPr>
          <w:p w:rsidR="009E0735" w:rsidRDefault="009E073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D2CB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аудита 700 (пересмотренный) «Формирование мнения и составление заключения о финансовой отчетности»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A46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3D2CB2" w:rsidTr="00E37B32">
        <w:tc>
          <w:tcPr>
            <w:tcW w:w="497" w:type="dxa"/>
          </w:tcPr>
          <w:p w:rsidR="009E0735" w:rsidRDefault="009E073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D2CB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аудита 701 «Информирование о ключевых вопросах аудита в аудиторском заключении»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A46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1C0505" w:rsidTr="00E37B32">
        <w:tc>
          <w:tcPr>
            <w:tcW w:w="497" w:type="dxa"/>
          </w:tcPr>
          <w:p w:rsidR="009E0735" w:rsidRDefault="009E073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32</w:t>
            </w:r>
          </w:p>
        </w:tc>
        <w:tc>
          <w:tcPr>
            <w:tcW w:w="3037" w:type="dxa"/>
          </w:tcPr>
          <w:p w:rsidR="009E0735" w:rsidRDefault="009E0735" w:rsidP="008246E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46E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аудита 705 (пересмотренный) «Модифицированное мнение в аудиторском заключении»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A46BCC" w:rsidP="00E37B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1C0505" w:rsidTr="00E37B32">
        <w:tc>
          <w:tcPr>
            <w:tcW w:w="497" w:type="dxa"/>
          </w:tcPr>
          <w:p w:rsidR="009E0735" w:rsidRDefault="009E073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33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46E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аудита 706 (пересмотренный) «Разделы «Важные обстоятельства» и «Прочие сведения» в аудиторском заключении»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A46BCC" w:rsidP="00E37B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1C0505" w:rsidTr="00E37B32">
        <w:tc>
          <w:tcPr>
            <w:tcW w:w="497" w:type="dxa"/>
          </w:tcPr>
          <w:p w:rsidR="009E0735" w:rsidRDefault="009E073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34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60D3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аудита 710 «Сравнительная информация – сопоставимые показатели и сравнительная финансовая отчетность»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9" w:type="dxa"/>
            <w:gridSpan w:val="2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2" w:type="dxa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A46BCC" w:rsidP="00E37B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1C0505" w:rsidTr="00E37B32">
        <w:tc>
          <w:tcPr>
            <w:tcW w:w="497" w:type="dxa"/>
            <w:tcBorders>
              <w:bottom w:val="single" w:sz="4" w:space="0" w:color="auto"/>
            </w:tcBorders>
          </w:tcPr>
          <w:p w:rsidR="009E0735" w:rsidRDefault="009E073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35</w:t>
            </w:r>
          </w:p>
        </w:tc>
        <w:tc>
          <w:tcPr>
            <w:tcW w:w="3037" w:type="dxa"/>
            <w:tcBorders>
              <w:bottom w:val="single" w:sz="4" w:space="0" w:color="auto"/>
            </w:tcBorders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606F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аудита 720 (пересмотренный) «Обязанности аудитора, относящиеся к прочей информации»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9" w:type="dxa"/>
            <w:gridSpan w:val="2"/>
            <w:tcBorders>
              <w:bottom w:val="single" w:sz="4" w:space="0" w:color="auto"/>
            </w:tcBorders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2" w:type="dxa"/>
            <w:tcBorders>
              <w:bottom w:val="single" w:sz="4" w:space="0" w:color="auto"/>
            </w:tcBorders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:rsidR="009E0735" w:rsidRDefault="00A46BCC" w:rsidP="00E37B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1C0505" w:rsidTr="00E37B32">
        <w:trPr>
          <w:trHeight w:val="14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735" w:rsidRDefault="009E073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36</w:t>
            </w:r>
          </w:p>
        </w:tc>
        <w:tc>
          <w:tcPr>
            <w:tcW w:w="3037" w:type="dxa"/>
            <w:tcBorders>
              <w:top w:val="single" w:sz="4" w:space="0" w:color="auto"/>
              <w:bottom w:val="single" w:sz="4" w:space="0" w:color="auto"/>
            </w:tcBorders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606F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Международный стандарт аудита 800 (пересмотренный) </w:t>
            </w:r>
            <w:r w:rsidRPr="004606F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«Особенности аудита финансовой отчетности, подготовленной в соответствии с концепцией специального назначения»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12.10.2018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35" w:rsidRDefault="00A46BCC" w:rsidP="00E37B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4606FF" w:rsidTr="00E37B32">
        <w:tc>
          <w:tcPr>
            <w:tcW w:w="497" w:type="dxa"/>
            <w:tcBorders>
              <w:top w:val="single" w:sz="4" w:space="0" w:color="auto"/>
            </w:tcBorders>
          </w:tcPr>
          <w:p w:rsidR="009E0735" w:rsidRDefault="009E0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3037" w:type="dxa"/>
            <w:tcBorders>
              <w:top w:val="single" w:sz="4" w:space="0" w:color="auto"/>
            </w:tcBorders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606F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аудита 805 (пересмотренный) «Особенности аудита отдельных отчетов финансовой отчетности и отдельных элементов, групп статей или статей финансовой отчетности»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  <w:tcBorders>
              <w:top w:val="single" w:sz="4" w:space="0" w:color="auto"/>
            </w:tcBorders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  <w:tcBorders>
              <w:top w:val="single" w:sz="4" w:space="0" w:color="auto"/>
            </w:tcBorders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  <w:tcBorders>
              <w:top w:val="single" w:sz="4" w:space="0" w:color="auto"/>
            </w:tcBorders>
          </w:tcPr>
          <w:p w:rsidR="009E0735" w:rsidRDefault="00A46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4606FF" w:rsidTr="00E37B32">
        <w:tc>
          <w:tcPr>
            <w:tcW w:w="497" w:type="dxa"/>
          </w:tcPr>
          <w:p w:rsidR="009E0735" w:rsidRDefault="009E0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606F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аудита 810 (пересмотренный) «Задания по предоставлению заключения об обобщенной финансовой отчетности»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7639F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A46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4606FF" w:rsidTr="00E37B32">
        <w:tc>
          <w:tcPr>
            <w:tcW w:w="497" w:type="dxa"/>
          </w:tcPr>
          <w:p w:rsidR="009E0735" w:rsidRDefault="009E0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606F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отчет о практике аудита 1000 «Особенности аудита финансовых инструментов»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A46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4606FF" w:rsidTr="00E37B32">
        <w:tc>
          <w:tcPr>
            <w:tcW w:w="497" w:type="dxa"/>
          </w:tcPr>
          <w:p w:rsidR="009E0735" w:rsidRDefault="009E0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606F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обзорных проверок 2400 (пересмотренный) «Задания по обзорной проверке финансовой отчетности прошедших периодов»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A46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4606FF" w:rsidTr="00E37B32">
        <w:tc>
          <w:tcPr>
            <w:tcW w:w="497" w:type="dxa"/>
          </w:tcPr>
          <w:p w:rsidR="009E0735" w:rsidRDefault="009E0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606F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обзорных проверок 2410 «Обзорная проверка промежуточной финансовой информации, выполняемая независимым аудитором организации»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A46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C27734" w:rsidTr="00E37B32">
        <w:tc>
          <w:tcPr>
            <w:tcW w:w="497" w:type="dxa"/>
          </w:tcPr>
          <w:p w:rsidR="009E0735" w:rsidRDefault="009E0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773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Международный стандарт заданий, обеспечивающих </w:t>
            </w:r>
            <w:r w:rsidRPr="00C2773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уверенность 3000  (пересмотренный) «Задания, обеспечивающие уверенность, отличные от аудита и обзорной проверки финансовой информации прошедших периодов»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A46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F3645B" w:rsidTr="00E37B32">
        <w:tc>
          <w:tcPr>
            <w:tcW w:w="497" w:type="dxa"/>
          </w:tcPr>
          <w:p w:rsidR="009E0735" w:rsidRDefault="009E0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645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заданий, обеспечивающих уверенность 3400 «Проверка прогнозной финансовой информации»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A46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F3645B" w:rsidTr="00E37B32">
        <w:tc>
          <w:tcPr>
            <w:tcW w:w="497" w:type="dxa"/>
          </w:tcPr>
          <w:p w:rsidR="009E0735" w:rsidRDefault="009E0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645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заданий, обеспечивающих уверенность 3402 «Заключение аудитора обслуживающей организации, обеспечивающее уверенность, о средствах контроля обслуживающей организации»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A46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F3645B" w:rsidTr="00E37B32">
        <w:tc>
          <w:tcPr>
            <w:tcW w:w="497" w:type="dxa"/>
          </w:tcPr>
          <w:p w:rsidR="009E0735" w:rsidRDefault="009E0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645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заданий, обеспечивающих уверенность 3410 «Задания, обеспечивающие уверенность, в отношении отчетности о выбросах парниковых газов»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A46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F3645B" w:rsidTr="00E37B32">
        <w:tc>
          <w:tcPr>
            <w:tcW w:w="497" w:type="dxa"/>
          </w:tcPr>
          <w:p w:rsidR="009E0735" w:rsidRDefault="009E0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645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заданий, обеспечивающих уверенность 3420 «Задания, обеспечивающие уверенность, в отношении компиляции проформы финансовой информации, включаемой в проспект ценных бумаг»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A46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F3645B" w:rsidTr="00E37B32">
        <w:tc>
          <w:tcPr>
            <w:tcW w:w="497" w:type="dxa"/>
          </w:tcPr>
          <w:p w:rsidR="009E0735" w:rsidRDefault="009E0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645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Международный стандарт сопутствующих услуг 4400  </w:t>
            </w:r>
            <w:r w:rsidRPr="00F3645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(ранее МСА 920) «Задания по выполнению согласованных процедур в отношении финансовой информации»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A46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</w:p>
        </w:tc>
      </w:tr>
      <w:tr w:rsidR="009E0735" w:rsidRPr="00F3645B" w:rsidTr="00E37B32">
        <w:tc>
          <w:tcPr>
            <w:tcW w:w="497" w:type="dxa"/>
          </w:tcPr>
          <w:p w:rsidR="009E0735" w:rsidRDefault="009E0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3037" w:type="dxa"/>
          </w:tcPr>
          <w:p w:rsidR="009E0735" w:rsidRDefault="009E07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645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Международный стандарт сопутствующих услуг 4410 (пересмотренный) «Задания по компиляции»</w:t>
            </w:r>
          </w:p>
        </w:tc>
        <w:tc>
          <w:tcPr>
            <w:tcW w:w="1559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12.10.2018</w:t>
            </w:r>
          </w:p>
        </w:tc>
        <w:tc>
          <w:tcPr>
            <w:tcW w:w="1418" w:type="dxa"/>
          </w:tcPr>
          <w:p w:rsidR="009E0735" w:rsidRDefault="009E0735" w:rsidP="00565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13.11.2018</w:t>
            </w:r>
          </w:p>
        </w:tc>
        <w:tc>
          <w:tcPr>
            <w:tcW w:w="1417" w:type="dxa"/>
          </w:tcPr>
          <w:p w:rsidR="009E0735" w:rsidRDefault="009E0735" w:rsidP="00681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14.12.2018</w:t>
            </w:r>
          </w:p>
        </w:tc>
        <w:tc>
          <w:tcPr>
            <w:tcW w:w="1276" w:type="dxa"/>
          </w:tcPr>
          <w:p w:rsidR="009E0735" w:rsidRPr="001C0505" w:rsidRDefault="009E0735" w:rsidP="00681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18.12.2018</w:t>
            </w:r>
          </w:p>
        </w:tc>
        <w:tc>
          <w:tcPr>
            <w:tcW w:w="1563" w:type="dxa"/>
          </w:tcPr>
          <w:p w:rsidR="003F7F13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09.01.2019</w:t>
            </w:r>
          </w:p>
          <w:p w:rsidR="009E0735" w:rsidRDefault="003F7F13" w:rsidP="003F7F13">
            <w:pPr>
              <w:ind w:right="-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2н</w:t>
            </w:r>
          </w:p>
        </w:tc>
        <w:tc>
          <w:tcPr>
            <w:tcW w:w="1918" w:type="dxa"/>
            <w:gridSpan w:val="2"/>
          </w:tcPr>
          <w:p w:rsidR="009E0735" w:rsidRDefault="00B34F5A" w:rsidP="007639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Письмо Минфина России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от 10.01.2019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№ 07-02-07/197</w:t>
            </w:r>
          </w:p>
        </w:tc>
        <w:tc>
          <w:tcPr>
            <w:tcW w:w="1916" w:type="dxa"/>
          </w:tcPr>
          <w:p w:rsidR="009E0735" w:rsidRDefault="00A46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.01.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2019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рег. №</w:t>
            </w:r>
            <w:r w:rsidRPr="00E37B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53639</w:t>
            </w:r>
            <w:bookmarkStart w:id="0" w:name="_GoBack"/>
            <w:bookmarkEnd w:id="0"/>
          </w:p>
        </w:tc>
      </w:tr>
    </w:tbl>
    <w:p w:rsidR="004414FD" w:rsidRDefault="004414FD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4414FD">
      <w:type w:val="continuous"/>
      <w:pgSz w:w="15840" w:h="12240" w:orient="landscape"/>
      <w:pgMar w:top="429" w:right="672" w:bottom="850" w:left="851" w:header="426" w:footer="4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F98" w:rsidRDefault="00974F98">
      <w:pPr>
        <w:spacing w:after="0" w:line="240" w:lineRule="auto"/>
      </w:pPr>
      <w:r>
        <w:separator/>
      </w:r>
    </w:p>
  </w:endnote>
  <w:endnote w:type="continuationSeparator" w:id="0">
    <w:p w:rsidR="00974F98" w:rsidRDefault="00974F98">
      <w:pPr>
        <w:spacing w:after="0" w:line="240" w:lineRule="auto"/>
      </w:pPr>
      <w:r>
        <w:continuationSeparator/>
      </w:r>
    </w:p>
  </w:endnote>
  <w:endnote w:id="1">
    <w:p w:rsidR="004414FD" w:rsidRDefault="006952C1" w:rsidP="000E4D93">
      <w:pPr>
        <w:pStyle w:val="ab"/>
        <w:jc w:val="both"/>
        <w:rPr>
          <w:lang w:val="ru-RU"/>
        </w:rPr>
      </w:pPr>
      <w:r>
        <w:rPr>
          <w:rStyle w:val="ad"/>
        </w:rPr>
        <w:endnoteRef/>
      </w:r>
      <w:r>
        <w:rPr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 текстами документов, содержащих международные стандарты аудита, до момента их признания применимыми на территории Российской Федерации можно ознакомиться на Интернет-сайте Международной федерации бухгалтеров www.ifac.org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F98" w:rsidRDefault="00974F98">
      <w:pPr>
        <w:spacing w:after="0" w:line="240" w:lineRule="auto"/>
      </w:pPr>
      <w:r>
        <w:separator/>
      </w:r>
    </w:p>
  </w:footnote>
  <w:footnote w:type="continuationSeparator" w:id="0">
    <w:p w:rsidR="00974F98" w:rsidRDefault="00974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4FD" w:rsidRDefault="006952C1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A46BCC" w:rsidRPr="00A46BCC">
      <w:rPr>
        <w:noProof/>
        <w:lang w:val="ru-RU"/>
      </w:rPr>
      <w:t>8</w:t>
    </w:r>
    <w:r>
      <w:fldChar w:fldCharType="end"/>
    </w:r>
  </w:p>
  <w:p w:rsidR="004414FD" w:rsidRDefault="004414F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505" w:rsidRDefault="001C0505">
    <w:pPr>
      <w:pStyle w:val="a4"/>
      <w:jc w:val="center"/>
    </w:pPr>
  </w:p>
  <w:p w:rsidR="001C0505" w:rsidRDefault="001C050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4FD"/>
    <w:rsid w:val="00047439"/>
    <w:rsid w:val="000E278F"/>
    <w:rsid w:val="000E4D93"/>
    <w:rsid w:val="001C0505"/>
    <w:rsid w:val="002F10D3"/>
    <w:rsid w:val="003D2CB2"/>
    <w:rsid w:val="003F7F13"/>
    <w:rsid w:val="004414FD"/>
    <w:rsid w:val="004606FF"/>
    <w:rsid w:val="005A3D8A"/>
    <w:rsid w:val="005D6A48"/>
    <w:rsid w:val="00612CC6"/>
    <w:rsid w:val="006952C1"/>
    <w:rsid w:val="006C352D"/>
    <w:rsid w:val="00760D37"/>
    <w:rsid w:val="008246E0"/>
    <w:rsid w:val="00974F98"/>
    <w:rsid w:val="009E0735"/>
    <w:rsid w:val="00A46BCC"/>
    <w:rsid w:val="00AF62F1"/>
    <w:rsid w:val="00B34F5A"/>
    <w:rsid w:val="00C27734"/>
    <w:rsid w:val="00C348E3"/>
    <w:rsid w:val="00C8511F"/>
    <w:rsid w:val="00E37B32"/>
    <w:rsid w:val="00F3645B"/>
    <w:rsid w:val="00FC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footnote text"/>
    <w:basedOn w:val="a"/>
    <w:link w:val="a9"/>
    <w:uiPriority w:val="99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Pr>
      <w:sz w:val="20"/>
      <w:szCs w:val="20"/>
    </w:rPr>
  </w:style>
  <w:style w:type="character" w:styleId="aa">
    <w:name w:val="footnote reference"/>
    <w:basedOn w:val="a0"/>
    <w:uiPriority w:val="99"/>
    <w:rPr>
      <w:vertAlign w:val="superscript"/>
    </w:rPr>
  </w:style>
  <w:style w:type="paragraph" w:styleId="ab">
    <w:name w:val="endnote text"/>
    <w:basedOn w:val="a"/>
    <w:link w:val="ac"/>
    <w:uiPriority w:val="99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rPr>
      <w:sz w:val="20"/>
      <w:szCs w:val="20"/>
    </w:rPr>
  </w:style>
  <w:style w:type="character" w:styleId="ad">
    <w:name w:val="endnote reference"/>
    <w:basedOn w:val="a0"/>
    <w:uiPriority w:val="9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footnote text"/>
    <w:basedOn w:val="a"/>
    <w:link w:val="a9"/>
    <w:uiPriority w:val="99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Pr>
      <w:sz w:val="20"/>
      <w:szCs w:val="20"/>
    </w:rPr>
  </w:style>
  <w:style w:type="character" w:styleId="aa">
    <w:name w:val="footnote reference"/>
    <w:basedOn w:val="a0"/>
    <w:uiPriority w:val="99"/>
    <w:rPr>
      <w:vertAlign w:val="superscript"/>
    </w:rPr>
  </w:style>
  <w:style w:type="paragraph" w:styleId="ab">
    <w:name w:val="endnote text"/>
    <w:basedOn w:val="a"/>
    <w:link w:val="ac"/>
    <w:uiPriority w:val="99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rPr>
      <w:sz w:val="20"/>
      <w:szCs w:val="20"/>
    </w:rPr>
  </w:style>
  <w:style w:type="character" w:styleId="ad">
    <w:name w:val="endnote reference"/>
    <w:basedOn w:val="a0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A5F41-EB40-43BA-BD2E-C309562A9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1966</Words>
  <Characters>11211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А. Черемных</dc:creator>
  <cp:lastModifiedBy>Елена Черемных</cp:lastModifiedBy>
  <cp:revision>2</cp:revision>
  <cp:lastPrinted>2016-07-18T06:48:00Z</cp:lastPrinted>
  <dcterms:created xsi:type="dcterms:W3CDTF">2019-02-07T13:22:00Z</dcterms:created>
  <dcterms:modified xsi:type="dcterms:W3CDTF">2019-02-07T13:22:00Z</dcterms:modified>
</cp:coreProperties>
</file>